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8" w:rsidRPr="005618D8" w:rsidRDefault="00730138" w:rsidP="0073013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 w:rsidRPr="005618D8">
        <w:rPr>
          <w:rFonts w:ascii="Calibri-Bold" w:hAnsi="Calibri-Bold" w:cs="Calibri-Bold"/>
          <w:b/>
          <w:bCs/>
          <w:sz w:val="24"/>
          <w:szCs w:val="24"/>
        </w:rPr>
        <w:t>GARDENTOP</w:t>
      </w:r>
      <w:r w:rsidR="000B0918" w:rsidRPr="000B0918">
        <w:rPr>
          <w:rFonts w:ascii="Calibri-Bold" w:hAnsi="Calibri-Bold" w:cs="Calibri-Bold"/>
          <w:b/>
          <w:bCs/>
          <w:sz w:val="24"/>
          <w:szCs w:val="24"/>
          <w:vertAlign w:val="superscript"/>
        </w:rPr>
        <w:t>®</w:t>
      </w:r>
      <w:r w:rsidRPr="000B091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C66847">
        <w:rPr>
          <w:rFonts w:ascii="Calibri-Bold" w:hAnsi="Calibri-Bold" w:cs="Calibri-Bold"/>
          <w:b/>
          <w:bCs/>
          <w:sz w:val="24"/>
          <w:szCs w:val="24"/>
        </w:rPr>
        <w:t>GRANULAT</w:t>
      </w:r>
    </w:p>
    <w:p w:rsidR="00730138" w:rsidRPr="005618D8" w:rsidRDefault="00FB0B63" w:rsidP="0073013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Produkt</w:t>
      </w:r>
      <w:r w:rsidR="00730138" w:rsidRPr="005618D8">
        <w:rPr>
          <w:rFonts w:ascii="Calibri" w:hAnsi="Calibri" w:cs="Calibri"/>
          <w:sz w:val="20"/>
          <w:szCs w:val="20"/>
        </w:rPr>
        <w:t xml:space="preserve"> gotowy do użycia w formie </w:t>
      </w:r>
      <w:r w:rsidR="00C66847">
        <w:rPr>
          <w:rFonts w:ascii="Calibri" w:hAnsi="Calibri" w:cs="Calibri"/>
          <w:sz w:val="20"/>
          <w:szCs w:val="20"/>
        </w:rPr>
        <w:t xml:space="preserve">granulowanej </w:t>
      </w:r>
      <w:r w:rsidR="00730138" w:rsidRPr="005618D8">
        <w:rPr>
          <w:rFonts w:ascii="Calibri" w:hAnsi="Calibri" w:cs="Calibri"/>
          <w:sz w:val="20"/>
          <w:szCs w:val="20"/>
        </w:rPr>
        <w:t>przynęty do zwalczania szczurów i myszy.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18D8">
        <w:rPr>
          <w:rFonts w:ascii="Calibri" w:hAnsi="Calibri" w:cs="Calibri"/>
          <w:sz w:val="20"/>
          <w:szCs w:val="20"/>
        </w:rPr>
        <w:t>Przeznaczony do użytku profesjonalnego.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730138" w:rsidRPr="005618D8" w:rsidRDefault="00730138" w:rsidP="0073013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18D8">
        <w:rPr>
          <w:rFonts w:ascii="Calibri-Bold" w:hAnsi="Calibri-Bold" w:cs="Calibri-Bold"/>
          <w:b/>
          <w:bCs/>
          <w:sz w:val="20"/>
          <w:szCs w:val="20"/>
        </w:rPr>
        <w:t>Nr pozwolenia na wprowadzenie do obrotu produktu biobójczego</w:t>
      </w:r>
      <w:r w:rsidRPr="005618D8">
        <w:rPr>
          <w:rFonts w:ascii="Calibri" w:hAnsi="Calibri" w:cs="Calibri"/>
          <w:sz w:val="20"/>
          <w:szCs w:val="20"/>
        </w:rPr>
        <w:t xml:space="preserve">: </w:t>
      </w:r>
      <w:r w:rsidR="007D3A80">
        <w:rPr>
          <w:rFonts w:ascii="Calibri-Bold" w:hAnsi="Calibri-Bold" w:cs="Calibri-Bold"/>
          <w:b/>
          <w:bCs/>
          <w:sz w:val="20"/>
          <w:szCs w:val="20"/>
        </w:rPr>
        <w:t>PL/2013/0099/A/MR</w:t>
      </w:r>
    </w:p>
    <w:p w:rsidR="00730138" w:rsidRPr="005618D8" w:rsidRDefault="00730138" w:rsidP="0073013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730138" w:rsidRPr="005618D8" w:rsidRDefault="00730138" w:rsidP="0073013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5618D8">
        <w:rPr>
          <w:rFonts w:ascii="Calibri-Bold" w:hAnsi="Calibri-Bold" w:cs="Calibri-Bold"/>
          <w:b/>
          <w:bCs/>
          <w:sz w:val="20"/>
          <w:szCs w:val="20"/>
        </w:rPr>
        <w:t>Substancja czynna</w:t>
      </w:r>
      <w:r w:rsidRPr="005618D8">
        <w:rPr>
          <w:rFonts w:ascii="Calibri" w:hAnsi="Calibri" w:cs="Calibri"/>
          <w:sz w:val="20"/>
          <w:szCs w:val="20"/>
        </w:rPr>
        <w:t xml:space="preserve">: </w:t>
      </w:r>
      <w:r w:rsidRPr="005618D8">
        <w:rPr>
          <w:rFonts w:ascii="Calibri-Bold" w:hAnsi="Calibri-Bold" w:cs="Calibri-Bold"/>
          <w:b/>
          <w:bCs/>
          <w:sz w:val="20"/>
          <w:szCs w:val="20"/>
        </w:rPr>
        <w:t xml:space="preserve">bromadiolon </w:t>
      </w:r>
      <w:r w:rsidRPr="005618D8">
        <w:rPr>
          <w:rFonts w:ascii="Calibri" w:hAnsi="Calibri" w:cs="Calibri"/>
          <w:sz w:val="20"/>
          <w:szCs w:val="20"/>
        </w:rPr>
        <w:t xml:space="preserve">(związek z grupy antykoagulantów) </w:t>
      </w:r>
      <w:r w:rsidRPr="005618D8">
        <w:rPr>
          <w:rFonts w:ascii="Calibri-Bold" w:hAnsi="Calibri-Bold" w:cs="Calibri-Bold"/>
          <w:b/>
          <w:bCs/>
          <w:sz w:val="20"/>
          <w:szCs w:val="20"/>
        </w:rPr>
        <w:t>0,05 g/kg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BB542A" w:rsidRPr="005618D8" w:rsidRDefault="00BB542A" w:rsidP="00BB542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5618D8">
        <w:rPr>
          <w:rFonts w:ascii="Calibri-Bold" w:hAnsi="Calibri-Bold" w:cs="Calibri-Bold"/>
          <w:b/>
          <w:bCs/>
          <w:sz w:val="20"/>
          <w:szCs w:val="20"/>
        </w:rPr>
        <w:t>ZAKRES STOSOWANIA</w:t>
      </w:r>
    </w:p>
    <w:p w:rsidR="00BB542A" w:rsidRPr="00E766E7" w:rsidRDefault="00BB542A" w:rsidP="00BB542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GARDENTOP</w:t>
      </w:r>
      <w:r w:rsidR="000B0918" w:rsidRPr="00E766E7">
        <w:rPr>
          <w:rFonts w:cs="Calibri-Bold"/>
          <w:b/>
          <w:bCs/>
          <w:sz w:val="20"/>
          <w:szCs w:val="20"/>
          <w:vertAlign w:val="superscript"/>
        </w:rPr>
        <w:t>®</w:t>
      </w:r>
      <w:r w:rsidRPr="00E766E7">
        <w:rPr>
          <w:rFonts w:cs="Calibri"/>
          <w:sz w:val="20"/>
          <w:szCs w:val="20"/>
        </w:rPr>
        <w:t xml:space="preserve"> </w:t>
      </w:r>
      <w:r w:rsidR="00C66847" w:rsidRPr="00E766E7">
        <w:rPr>
          <w:rFonts w:cs="Calibri"/>
          <w:sz w:val="20"/>
          <w:szCs w:val="20"/>
        </w:rPr>
        <w:t>GRANULAT</w:t>
      </w:r>
      <w:r w:rsidRPr="00E766E7">
        <w:rPr>
          <w:rFonts w:cs="Calibri"/>
          <w:sz w:val="20"/>
          <w:szCs w:val="20"/>
        </w:rPr>
        <w:t xml:space="preserve"> jest gotową do użycia przynętą w postaci </w:t>
      </w:r>
      <w:r w:rsidR="00FB0B63" w:rsidRPr="00E766E7">
        <w:rPr>
          <w:rFonts w:cs="Calibri"/>
          <w:sz w:val="20"/>
          <w:szCs w:val="20"/>
        </w:rPr>
        <w:t>granulatu</w:t>
      </w:r>
      <w:r w:rsidRPr="00E766E7">
        <w:rPr>
          <w:rFonts w:cs="Calibri"/>
          <w:sz w:val="20"/>
          <w:szCs w:val="20"/>
        </w:rPr>
        <w:t xml:space="preserve">, do zwalczania szczurów </w:t>
      </w:r>
      <w:r w:rsidR="00FB0B63" w:rsidRPr="00E766E7">
        <w:rPr>
          <w:rFonts w:cs="Calibri"/>
          <w:sz w:val="20"/>
          <w:szCs w:val="20"/>
        </w:rPr>
        <w:t>(Szczur wędrowny)</w:t>
      </w:r>
      <w:r w:rsidRPr="00E766E7">
        <w:rPr>
          <w:rFonts w:cs="Calibri"/>
          <w:sz w:val="20"/>
          <w:szCs w:val="20"/>
        </w:rPr>
        <w:t>i myszy</w:t>
      </w:r>
      <w:r w:rsidR="00FB0B63" w:rsidRPr="00E766E7">
        <w:rPr>
          <w:rFonts w:cs="Calibri"/>
          <w:sz w:val="20"/>
          <w:szCs w:val="20"/>
        </w:rPr>
        <w:t xml:space="preserve"> (Mysz domowa)</w:t>
      </w:r>
      <w:r w:rsidRPr="00E766E7">
        <w:rPr>
          <w:rFonts w:cs="Calibri"/>
          <w:sz w:val="20"/>
          <w:szCs w:val="20"/>
        </w:rPr>
        <w:t>, zawierającą bromadiolon, antykoagulant drugiej generacji. GARDENTOP</w:t>
      </w:r>
      <w:r w:rsidR="000B0918" w:rsidRPr="00E766E7">
        <w:rPr>
          <w:rFonts w:cs="Calibri-Bold"/>
          <w:b/>
          <w:bCs/>
          <w:sz w:val="20"/>
          <w:szCs w:val="20"/>
          <w:vertAlign w:val="superscript"/>
        </w:rPr>
        <w:t>®</w:t>
      </w:r>
      <w:r w:rsidRPr="00E766E7">
        <w:rPr>
          <w:rFonts w:cs="Calibri"/>
          <w:sz w:val="20"/>
          <w:szCs w:val="20"/>
        </w:rPr>
        <w:t xml:space="preserve"> </w:t>
      </w:r>
      <w:r w:rsidR="00C66847" w:rsidRPr="00E766E7">
        <w:rPr>
          <w:rFonts w:cs="Calibri"/>
          <w:sz w:val="20"/>
          <w:szCs w:val="20"/>
        </w:rPr>
        <w:t>GRANULAT</w:t>
      </w:r>
      <w:r w:rsidRPr="00E766E7">
        <w:rPr>
          <w:rFonts w:cs="Calibri"/>
          <w:sz w:val="20"/>
          <w:szCs w:val="20"/>
        </w:rPr>
        <w:t xml:space="preserve"> jest skuteczny w zwalczaniu szczurów i myszy już po pobraniu przez nie pojedynczej dawki. Gryzonie giną po kilku dniach (3‐5) od pobrania preparatu, nie powodując nieufości do trutki u innych osobników z kolonii. GARDENTOP</w:t>
      </w:r>
      <w:r w:rsidR="000B0918" w:rsidRPr="00E766E7">
        <w:rPr>
          <w:rFonts w:cs="Calibri-Bold"/>
          <w:b/>
          <w:bCs/>
          <w:sz w:val="20"/>
          <w:szCs w:val="20"/>
          <w:vertAlign w:val="superscript"/>
        </w:rPr>
        <w:t>®</w:t>
      </w:r>
      <w:r w:rsidRPr="00E766E7">
        <w:rPr>
          <w:rFonts w:cs="Calibri"/>
          <w:sz w:val="20"/>
          <w:szCs w:val="20"/>
        </w:rPr>
        <w:t xml:space="preserve"> </w:t>
      </w:r>
      <w:r w:rsidR="00C66847" w:rsidRPr="00E766E7">
        <w:rPr>
          <w:rFonts w:cs="Calibri"/>
          <w:sz w:val="20"/>
          <w:szCs w:val="20"/>
        </w:rPr>
        <w:t>GRANULAT</w:t>
      </w:r>
      <w:r w:rsidRPr="00E766E7">
        <w:rPr>
          <w:rFonts w:cs="Calibri"/>
          <w:sz w:val="20"/>
          <w:szCs w:val="20"/>
        </w:rPr>
        <w:t xml:space="preserve"> zawiera kompozycję składników pokarmowych, które zachęcają gryzonie do jej pobrania oraz, substancję o gorzkim smaku</w:t>
      </w:r>
      <w:r w:rsidRPr="00E766E7">
        <w:rPr>
          <w:rFonts w:cs="Calibri-Italic"/>
          <w:i/>
          <w:iCs/>
          <w:sz w:val="20"/>
          <w:szCs w:val="20"/>
        </w:rPr>
        <w:t xml:space="preserve"> (Benzoesan denatonium)</w:t>
      </w:r>
      <w:r w:rsidRPr="00E766E7">
        <w:rPr>
          <w:rFonts w:cs="Calibri"/>
          <w:sz w:val="20"/>
          <w:szCs w:val="20"/>
        </w:rPr>
        <w:t>, zabezpieczającą przed przypadkowym spożyciem przez człowieka.</w:t>
      </w:r>
    </w:p>
    <w:p w:rsidR="00BB542A" w:rsidRPr="00E766E7" w:rsidRDefault="00BB542A" w:rsidP="00BB542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GARDENTOP</w:t>
      </w:r>
      <w:r w:rsidR="000B0918" w:rsidRPr="00E766E7">
        <w:rPr>
          <w:rFonts w:cs="Calibri-Bold"/>
          <w:b/>
          <w:bCs/>
          <w:sz w:val="20"/>
          <w:szCs w:val="20"/>
          <w:vertAlign w:val="superscript"/>
        </w:rPr>
        <w:t>®</w:t>
      </w:r>
      <w:r w:rsidRPr="00E766E7">
        <w:rPr>
          <w:rFonts w:cs="Calibri"/>
          <w:sz w:val="20"/>
          <w:szCs w:val="20"/>
        </w:rPr>
        <w:t xml:space="preserve"> </w:t>
      </w:r>
      <w:r w:rsidR="00C66847" w:rsidRPr="00E766E7">
        <w:rPr>
          <w:rFonts w:cs="Calibri"/>
          <w:sz w:val="20"/>
          <w:szCs w:val="20"/>
        </w:rPr>
        <w:t>GRANULAT</w:t>
      </w:r>
      <w:r w:rsidRPr="00E766E7">
        <w:rPr>
          <w:rFonts w:cs="Calibri"/>
          <w:sz w:val="20"/>
          <w:szCs w:val="20"/>
        </w:rPr>
        <w:t xml:space="preserve"> jest odpowiedni do zwalczania myszy i szczurów w domach mieszkalnych i innych budynkach, takich jak szpitale, hodowla zwierząt, magazyny, obiekty przemysłu spożywczego itp., oraz wokół nich.</w:t>
      </w:r>
      <w:r w:rsidR="00C66847" w:rsidRPr="00E766E7">
        <w:rPr>
          <w:rFonts w:cs="Calibri"/>
          <w:sz w:val="20"/>
          <w:szCs w:val="20"/>
        </w:rPr>
        <w:t xml:space="preserve"> </w:t>
      </w:r>
    </w:p>
    <w:p w:rsidR="00FB061B" w:rsidRPr="005618D8" w:rsidRDefault="00FB061B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5618D8">
        <w:rPr>
          <w:rFonts w:ascii="Calibri-Bold" w:hAnsi="Calibri-Bold" w:cs="Calibri-Bold"/>
          <w:b/>
          <w:bCs/>
          <w:sz w:val="20"/>
          <w:szCs w:val="20"/>
        </w:rPr>
        <w:t>SPOSÓB STOSOWANIA: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18D8">
        <w:rPr>
          <w:rFonts w:ascii="Calibri" w:hAnsi="Calibri" w:cs="Calibri"/>
          <w:sz w:val="20"/>
          <w:szCs w:val="20"/>
        </w:rPr>
        <w:t>Dla właściwej kontroli inwazji gryzoni należy stosować się do poniższej instrukcji opisującej fazy zwalczania,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18D8">
        <w:rPr>
          <w:rFonts w:ascii="Calibri" w:hAnsi="Calibri" w:cs="Calibri"/>
          <w:sz w:val="20"/>
          <w:szCs w:val="20"/>
        </w:rPr>
        <w:t>stosowania i utylizacji: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  <w:sz w:val="20"/>
          <w:szCs w:val="20"/>
        </w:rPr>
      </w:pPr>
      <w:r w:rsidRPr="005618D8">
        <w:rPr>
          <w:rFonts w:ascii="Calibri-Italic" w:hAnsi="Calibri-Italic" w:cs="Calibri-Italic"/>
          <w:b/>
          <w:i/>
          <w:iCs/>
          <w:sz w:val="20"/>
          <w:szCs w:val="20"/>
        </w:rPr>
        <w:t xml:space="preserve">1. </w:t>
      </w:r>
      <w:r w:rsidR="00BD7CFC" w:rsidRPr="005618D8">
        <w:rPr>
          <w:rFonts w:ascii="Calibri-Italic" w:hAnsi="Calibri-Italic" w:cs="Calibri-Italic"/>
          <w:b/>
          <w:i/>
          <w:iCs/>
          <w:sz w:val="20"/>
          <w:szCs w:val="20"/>
        </w:rPr>
        <w:t xml:space="preserve">Sprawdzanie </w:t>
      </w:r>
      <w:r w:rsidRPr="005618D8">
        <w:rPr>
          <w:rFonts w:ascii="Calibri-Italic" w:hAnsi="Calibri-Italic" w:cs="Calibri-Italic"/>
          <w:b/>
          <w:i/>
          <w:iCs/>
          <w:sz w:val="20"/>
          <w:szCs w:val="20"/>
        </w:rPr>
        <w:t>miejsca zabiegu.</w:t>
      </w:r>
    </w:p>
    <w:p w:rsidR="008F0086" w:rsidRPr="00E766E7" w:rsidRDefault="00534BF5" w:rsidP="008F0086">
      <w:pPr>
        <w:contextualSpacing/>
        <w:rPr>
          <w:sz w:val="20"/>
          <w:szCs w:val="20"/>
        </w:rPr>
      </w:pPr>
      <w:r w:rsidRPr="00E766E7">
        <w:rPr>
          <w:rFonts w:cs="Calibri"/>
          <w:sz w:val="20"/>
          <w:szCs w:val="20"/>
        </w:rPr>
        <w:t xml:space="preserve">Przed wyłożeniem przynęty </w:t>
      </w:r>
      <w:r w:rsidR="00E054D0" w:rsidRPr="00E766E7">
        <w:rPr>
          <w:rFonts w:cs="Calibri"/>
          <w:sz w:val="20"/>
          <w:szCs w:val="20"/>
        </w:rPr>
        <w:t xml:space="preserve">sprawdzić </w:t>
      </w:r>
      <w:r w:rsidRPr="00E766E7">
        <w:rPr>
          <w:rFonts w:cs="Calibri"/>
          <w:sz w:val="20"/>
          <w:szCs w:val="20"/>
        </w:rPr>
        <w:t>miejsca zabiegu aby ustalić rodzaj (gatunek gryzoni),</w:t>
      </w:r>
      <w:r w:rsidR="00E054D0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 xml:space="preserve">poziom </w:t>
      </w:r>
      <w:r w:rsidR="00E054D0" w:rsidRPr="00E766E7">
        <w:rPr>
          <w:rFonts w:cs="Calibri"/>
          <w:sz w:val="20"/>
          <w:szCs w:val="20"/>
        </w:rPr>
        <w:t xml:space="preserve">infestacji </w:t>
      </w:r>
      <w:r w:rsidRPr="00E766E7">
        <w:rPr>
          <w:rFonts w:cs="Calibri"/>
          <w:sz w:val="20"/>
          <w:szCs w:val="20"/>
        </w:rPr>
        <w:t>i rozległość występowania</w:t>
      </w:r>
      <w:r w:rsidR="00FB061B" w:rsidRPr="00E766E7">
        <w:rPr>
          <w:rFonts w:cs="Calibri"/>
          <w:sz w:val="20"/>
          <w:szCs w:val="20"/>
        </w:rPr>
        <w:t xml:space="preserve"> gryzoni</w:t>
      </w:r>
      <w:r w:rsidRPr="00E766E7">
        <w:rPr>
          <w:rFonts w:cs="Calibri"/>
          <w:sz w:val="20"/>
          <w:szCs w:val="20"/>
        </w:rPr>
        <w:t xml:space="preserve">. </w:t>
      </w:r>
      <w:r w:rsidR="00CA04C9" w:rsidRPr="00E766E7">
        <w:rPr>
          <w:sz w:val="20"/>
          <w:szCs w:val="20"/>
        </w:rPr>
        <w:t>Przy wyborze rodzaju śr</w:t>
      </w:r>
      <w:r w:rsidR="00962543" w:rsidRPr="00E766E7">
        <w:rPr>
          <w:sz w:val="20"/>
          <w:szCs w:val="20"/>
        </w:rPr>
        <w:t>odka gryzoniobójczego</w:t>
      </w:r>
      <w:r w:rsidR="00CA04C9" w:rsidRPr="00E766E7">
        <w:rPr>
          <w:sz w:val="20"/>
          <w:szCs w:val="20"/>
        </w:rPr>
        <w:t xml:space="preserve"> należy wziąć pod uwagę dane dotyczące oporności gryzoni. Jeżeli na danym terenie stwierdzono lub podejrzewa się zjawisko oporności na bromadiolon to należy zastosować produkt zawierający inną substancję z grupy rodentycydów. </w:t>
      </w:r>
      <w:r w:rsidRPr="00E766E7">
        <w:rPr>
          <w:rFonts w:cs="Calibri"/>
          <w:sz w:val="20"/>
          <w:szCs w:val="20"/>
        </w:rPr>
        <w:t>Sprawdzić możliwe drogi dostępu gryzoni do obiektu, nory</w:t>
      </w:r>
      <w:r w:rsidR="004819E5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>i miejsca schronienia oraz wyeliminować wszystkie źródła pożywienia i wody, określić najbardziej odpowiednie</w:t>
      </w:r>
      <w:r w:rsidR="004819E5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 xml:space="preserve">miejsca wyłożenia </w:t>
      </w:r>
      <w:r w:rsidR="00962543" w:rsidRPr="00E766E7">
        <w:rPr>
          <w:rFonts w:cs="Calibri"/>
          <w:sz w:val="20"/>
          <w:szCs w:val="20"/>
        </w:rPr>
        <w:t>przynęty</w:t>
      </w:r>
      <w:r w:rsidRPr="00E766E7">
        <w:rPr>
          <w:rFonts w:cs="Calibri"/>
          <w:sz w:val="20"/>
          <w:szCs w:val="20"/>
        </w:rPr>
        <w:t>, np. przy świeżych odchodach, wewnątrz lub w pobliżu nor, ścieżek i miejsc pobierania</w:t>
      </w:r>
      <w:r w:rsidR="004819E5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>pożywienia.</w:t>
      </w:r>
      <w:r w:rsidR="00190755" w:rsidRPr="00E766E7">
        <w:rPr>
          <w:rFonts w:cs="Calibri"/>
          <w:sz w:val="20"/>
          <w:szCs w:val="20"/>
        </w:rPr>
        <w:t xml:space="preserve"> </w:t>
      </w:r>
      <w:r w:rsidR="008F0086" w:rsidRPr="00E766E7">
        <w:rPr>
          <w:sz w:val="20"/>
          <w:szCs w:val="20"/>
        </w:rPr>
        <w:t>Nie stosować produktu w miejscach, w</w:t>
      </w:r>
      <w:r w:rsidR="00962543" w:rsidRPr="00E766E7">
        <w:rPr>
          <w:sz w:val="20"/>
          <w:szCs w:val="20"/>
        </w:rPr>
        <w:t xml:space="preserve"> których może on mieć kontakt z</w:t>
      </w:r>
      <w:r w:rsidR="008F0086" w:rsidRPr="00E766E7">
        <w:rPr>
          <w:sz w:val="20"/>
          <w:szCs w:val="20"/>
        </w:rPr>
        <w:t xml:space="preserve"> żywnością, paszą dla zwierząt, przyborami mającymi kontakt z żywnością czy miejscami jej przetwarzania. Produkt nie może być stosowany do ochrony roślin i produktów roślinnych.</w:t>
      </w:r>
    </w:p>
    <w:p w:rsidR="008F0086" w:rsidRPr="006F1209" w:rsidRDefault="008F0086" w:rsidP="008F0086">
      <w:pPr>
        <w:contextualSpacing/>
        <w:rPr>
          <w:rFonts w:ascii="Times New Roman" w:hAnsi="Times New Roman"/>
        </w:rPr>
      </w:pPr>
    </w:p>
    <w:p w:rsidR="00534BF5" w:rsidRPr="005618D8" w:rsidRDefault="00534BF5" w:rsidP="00CA04C9">
      <w:pPr>
        <w:rPr>
          <w:rFonts w:ascii="Calibri" w:hAnsi="Calibri" w:cs="Calibri"/>
          <w:sz w:val="20"/>
          <w:szCs w:val="20"/>
        </w:rPr>
      </w:pP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  <w:sz w:val="20"/>
          <w:szCs w:val="20"/>
        </w:rPr>
      </w:pPr>
      <w:r w:rsidRPr="005618D8">
        <w:rPr>
          <w:rFonts w:ascii="Calibri-Italic" w:hAnsi="Calibri-Italic" w:cs="Calibri-Italic"/>
          <w:b/>
          <w:i/>
          <w:iCs/>
          <w:sz w:val="20"/>
          <w:szCs w:val="20"/>
        </w:rPr>
        <w:t>2. Przeprowadzenie zwalczania</w:t>
      </w:r>
    </w:p>
    <w:p w:rsidR="00474FD5" w:rsidRPr="00E766E7" w:rsidRDefault="00534BF5" w:rsidP="00474FD5">
      <w:pPr>
        <w:contextualSpacing/>
        <w:rPr>
          <w:sz w:val="20"/>
          <w:szCs w:val="20"/>
        </w:rPr>
      </w:pPr>
      <w:r w:rsidRPr="00E766E7">
        <w:rPr>
          <w:rFonts w:cs="Calibri"/>
          <w:sz w:val="20"/>
          <w:szCs w:val="20"/>
        </w:rPr>
        <w:t>Używając rękawic, umieścić przynętę w pobliżu śladów aktywności gryzoni, np. przy świeżych odchodach,</w:t>
      </w:r>
      <w:r w:rsidR="00B94341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>wewnątrz lub w pobliżu nor, ścieżek i miejsc pobierania pożywienia, używając dostępnych</w:t>
      </w:r>
      <w:r w:rsidR="00474FD5" w:rsidRPr="00E766E7">
        <w:rPr>
          <w:rFonts w:cs="Calibri"/>
          <w:sz w:val="20"/>
          <w:szCs w:val="20"/>
        </w:rPr>
        <w:t xml:space="preserve"> w sprzedaży, zabezpieczonych przed niepożądanym otwarciem</w:t>
      </w:r>
      <w:r w:rsidRPr="00E766E7">
        <w:rPr>
          <w:rFonts w:cs="Calibri"/>
          <w:sz w:val="20"/>
          <w:szCs w:val="20"/>
        </w:rPr>
        <w:t xml:space="preserve"> </w:t>
      </w:r>
      <w:r w:rsidR="00FB061B" w:rsidRPr="00E766E7">
        <w:rPr>
          <w:rFonts w:cs="Calibri"/>
          <w:sz w:val="20"/>
          <w:szCs w:val="20"/>
        </w:rPr>
        <w:t>karmników</w:t>
      </w:r>
      <w:r w:rsidR="00B94341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 xml:space="preserve">deratyzacyjnych. </w:t>
      </w:r>
      <w:r w:rsidR="00474FD5" w:rsidRPr="00E766E7">
        <w:rPr>
          <w:sz w:val="20"/>
          <w:szCs w:val="20"/>
        </w:rPr>
        <w:t>Karmniki te powinny być przytwierdzone do podłoża. W przypadku gdy karmnik deratyzacyjny nie może być zastosowany, przynętę należy umieścić tak aby organizmy niebędące przedmiotem zwalczania nie mogły do niej dotrzeć. Tam gdzie to możliwe zabezpieczyć przynętę w taki sposób, aby nie mogła być ona wynoszona.</w:t>
      </w:r>
    </w:p>
    <w:p w:rsidR="000B293B" w:rsidRPr="00E766E7" w:rsidRDefault="000B293B" w:rsidP="000B293B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Stosować w miejscach niedostępnych dla dzieci oraz zwierząt nie będących przedmiotem zwalczania, takich jak zwierzęta domowe i ptaki. Z uwagi na nieufną naturę gryzoni, przynęta wyłożona w niedostępnym miejscu będzie łatwiej przez nie pobierana.</w:t>
      </w:r>
    </w:p>
    <w:p w:rsidR="00534BF5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5618D8">
        <w:rPr>
          <w:rFonts w:ascii="Calibri" w:hAnsi="Calibri" w:cs="Calibri"/>
          <w:sz w:val="20"/>
          <w:szCs w:val="20"/>
          <w:u w:val="single"/>
        </w:rPr>
        <w:t>Dawkowanie:</w:t>
      </w:r>
    </w:p>
    <w:p w:rsidR="004D7D5C" w:rsidRPr="00E766E7" w:rsidRDefault="004D7D5C" w:rsidP="004D7D5C">
      <w:pPr>
        <w:rPr>
          <w:rFonts w:cs="Calibri"/>
          <w:b/>
          <w:sz w:val="20"/>
          <w:szCs w:val="20"/>
        </w:rPr>
      </w:pPr>
      <w:r w:rsidRPr="00E766E7">
        <w:rPr>
          <w:sz w:val="20"/>
          <w:szCs w:val="20"/>
        </w:rPr>
        <w:t>W przypadku produktu stosowanego w saszetkach, przynęty nie należy z nich wyjmować.</w:t>
      </w:r>
    </w:p>
    <w:p w:rsidR="004C67BA" w:rsidRPr="00E766E7" w:rsidRDefault="004C67BA" w:rsidP="004C67B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-Bold"/>
          <w:b/>
          <w:bCs/>
          <w:sz w:val="20"/>
          <w:szCs w:val="20"/>
        </w:rPr>
        <w:t>Myszy</w:t>
      </w:r>
      <w:r w:rsidRPr="00E766E7">
        <w:rPr>
          <w:rFonts w:cs="Calibri"/>
          <w:sz w:val="20"/>
          <w:szCs w:val="20"/>
        </w:rPr>
        <w:t>: rozłożyć</w:t>
      </w:r>
      <w:r w:rsidR="00C004B4" w:rsidRPr="00E766E7">
        <w:rPr>
          <w:rFonts w:cs="Calibri"/>
          <w:sz w:val="20"/>
          <w:szCs w:val="20"/>
        </w:rPr>
        <w:t xml:space="preserve"> przynętę w porcjach po 50 g na karmnik deratyzacyjny lub </w:t>
      </w:r>
      <w:r w:rsidRPr="00E766E7">
        <w:rPr>
          <w:rFonts w:cs="Calibri"/>
          <w:sz w:val="20"/>
          <w:szCs w:val="20"/>
        </w:rPr>
        <w:t>punkt z przynętą, w odstępach co 5 metrów przy niskiej infestacji, a w obszarach wysokiej infestacji gryzoni co 2 metry.</w:t>
      </w:r>
    </w:p>
    <w:p w:rsidR="002D281D" w:rsidRPr="00E766E7" w:rsidRDefault="004C67BA" w:rsidP="004C67BA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-Bold"/>
          <w:b/>
          <w:bCs/>
          <w:sz w:val="20"/>
          <w:szCs w:val="20"/>
        </w:rPr>
        <w:t>Szczury</w:t>
      </w:r>
      <w:r w:rsidRPr="00E766E7">
        <w:rPr>
          <w:rFonts w:cs="Calibri"/>
          <w:sz w:val="20"/>
          <w:szCs w:val="20"/>
        </w:rPr>
        <w:t xml:space="preserve">: rozłożyć przynętę w porcjach po 100 g na </w:t>
      </w:r>
      <w:r w:rsidR="00C004B4" w:rsidRPr="00E766E7">
        <w:rPr>
          <w:rFonts w:cs="Calibri"/>
          <w:sz w:val="20"/>
          <w:szCs w:val="20"/>
        </w:rPr>
        <w:t xml:space="preserve">karmnik deratyzacyjny lub </w:t>
      </w:r>
      <w:r w:rsidRPr="00E766E7">
        <w:rPr>
          <w:rFonts w:cs="Calibri"/>
          <w:sz w:val="20"/>
          <w:szCs w:val="20"/>
        </w:rPr>
        <w:t>punkt z przynętą, w odstępach co 10 metrów przy niskiej infestacji, a w obszarach wysokiej infestacji gryzoni co 5 metrów.</w:t>
      </w:r>
    </w:p>
    <w:p w:rsidR="002D281D" w:rsidRPr="00E766E7" w:rsidRDefault="002D281D" w:rsidP="002D281D">
      <w:pPr>
        <w:contextualSpacing/>
        <w:rPr>
          <w:sz w:val="20"/>
          <w:szCs w:val="20"/>
        </w:rPr>
      </w:pPr>
      <w:r w:rsidRPr="00E766E7">
        <w:rPr>
          <w:sz w:val="20"/>
          <w:szCs w:val="20"/>
        </w:rPr>
        <w:t>Produktu w żadnym wypadku nie należy wykładać w sposób przypadkowy</w:t>
      </w:r>
      <w:r w:rsidR="0022654A">
        <w:rPr>
          <w:sz w:val="20"/>
          <w:szCs w:val="20"/>
        </w:rPr>
        <w:t>.</w:t>
      </w:r>
    </w:p>
    <w:p w:rsidR="002D281D" w:rsidRPr="00E766E7" w:rsidRDefault="002D281D" w:rsidP="002D281D">
      <w:pPr>
        <w:contextualSpacing/>
        <w:rPr>
          <w:sz w:val="20"/>
          <w:szCs w:val="20"/>
        </w:rPr>
      </w:pPr>
      <w:r w:rsidRPr="00E766E7">
        <w:rPr>
          <w:sz w:val="20"/>
          <w:szCs w:val="20"/>
        </w:rPr>
        <w:t>Karmniki należy wyraźnie oznakować, tak aby było oczywiste, że zawierają one środki gryzoniobójcze i nie wolno przy nich manipulować.</w:t>
      </w:r>
    </w:p>
    <w:p w:rsidR="004C67BA" w:rsidRPr="005618D8" w:rsidRDefault="004C67BA" w:rsidP="004C67B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  <w:sz w:val="20"/>
          <w:szCs w:val="20"/>
        </w:rPr>
      </w:pPr>
      <w:r w:rsidRPr="005618D8">
        <w:rPr>
          <w:rFonts w:ascii="Calibri-Italic" w:hAnsi="Calibri-Italic" w:cs="Calibri-Italic"/>
          <w:b/>
          <w:i/>
          <w:iCs/>
          <w:sz w:val="20"/>
          <w:szCs w:val="20"/>
        </w:rPr>
        <w:t>3. Monitorowanie</w:t>
      </w:r>
    </w:p>
    <w:p w:rsidR="00534BF5" w:rsidRPr="00E766E7" w:rsidRDefault="00534BF5" w:rsidP="004819E5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Regularnie dokonywać przeglądu miejsc wyłożenia przynęty (zaleca się</w:t>
      </w:r>
      <w:r w:rsidR="00FB061B" w:rsidRPr="00E766E7">
        <w:rPr>
          <w:rFonts w:cs="Calibri"/>
          <w:sz w:val="20"/>
          <w:szCs w:val="20"/>
        </w:rPr>
        <w:t xml:space="preserve"> inspekcje miejsc wykładania przynęty co </w:t>
      </w:r>
      <w:r w:rsidR="004C67BA" w:rsidRPr="00E766E7">
        <w:rPr>
          <w:rFonts w:cs="Calibri"/>
          <w:sz w:val="20"/>
          <w:szCs w:val="20"/>
        </w:rPr>
        <w:t>2 tygodnie</w:t>
      </w:r>
      <w:r w:rsidRPr="00E766E7">
        <w:rPr>
          <w:rFonts w:cs="Calibri"/>
          <w:sz w:val="20"/>
          <w:szCs w:val="20"/>
        </w:rPr>
        <w:t>) oraz wymieniać na</w:t>
      </w:r>
      <w:r w:rsidR="004819E5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>świeżą t</w:t>
      </w:r>
      <w:r w:rsidR="004C67BA" w:rsidRPr="00E766E7">
        <w:rPr>
          <w:rFonts w:cs="Calibri"/>
          <w:sz w:val="20"/>
          <w:szCs w:val="20"/>
        </w:rPr>
        <w:t>ę</w:t>
      </w:r>
      <w:r w:rsidRPr="00E766E7">
        <w:rPr>
          <w:rFonts w:cs="Calibri"/>
          <w:sz w:val="20"/>
          <w:szCs w:val="20"/>
        </w:rPr>
        <w:t>, która została napoczęta przez gryzonie, zawilgotniałą lub została zanieczyszczona. Zmieniać</w:t>
      </w:r>
      <w:r w:rsidR="004819E5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 xml:space="preserve">położenie </w:t>
      </w:r>
      <w:r w:rsidR="00261C44" w:rsidRPr="00E766E7">
        <w:rPr>
          <w:rFonts w:cs="Calibri"/>
          <w:sz w:val="20"/>
          <w:szCs w:val="20"/>
        </w:rPr>
        <w:t>karmników deratyzacyjnych</w:t>
      </w:r>
      <w:r w:rsidRPr="00E766E7">
        <w:rPr>
          <w:rFonts w:cs="Calibri"/>
          <w:sz w:val="20"/>
          <w:szCs w:val="20"/>
        </w:rPr>
        <w:t xml:space="preserve"> z których przynęta nie była pobierana. Sprawdzać, czy miejsca wyłożenia przynęty</w:t>
      </w:r>
      <w:r w:rsidR="004819E5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>pozostają niedostępne dla dzieci, zwierząt domowych oraz</w:t>
      </w:r>
      <w:r w:rsidR="00A81218" w:rsidRPr="00E766E7">
        <w:rPr>
          <w:rFonts w:cs="Calibri"/>
          <w:sz w:val="20"/>
          <w:szCs w:val="20"/>
        </w:rPr>
        <w:t xml:space="preserve"> innych organizmów nie</w:t>
      </w:r>
      <w:r w:rsidR="008F2F84" w:rsidRPr="00E766E7">
        <w:rPr>
          <w:rFonts w:cs="Calibri"/>
          <w:sz w:val="20"/>
          <w:szCs w:val="20"/>
        </w:rPr>
        <w:t xml:space="preserve"> </w:t>
      </w:r>
      <w:r w:rsidR="00A81218" w:rsidRPr="00E766E7">
        <w:rPr>
          <w:rFonts w:cs="Calibri"/>
          <w:sz w:val="20"/>
          <w:szCs w:val="20"/>
        </w:rPr>
        <w:t>będących przedmiotem zwalczania.</w:t>
      </w:r>
      <w:r w:rsidR="00261C44" w:rsidRPr="00E766E7">
        <w:rPr>
          <w:sz w:val="20"/>
          <w:szCs w:val="20"/>
        </w:rPr>
        <w:t xml:space="preserve"> Przynętę znalezioną poza karmnikiem i padłe gryzonie należy wyszukiwać i usuwać, stosując rękawice ochronne</w:t>
      </w:r>
      <w:r w:rsidRPr="00E766E7">
        <w:rPr>
          <w:rFonts w:cs="Calibri"/>
          <w:sz w:val="20"/>
          <w:szCs w:val="20"/>
        </w:rPr>
        <w:t>.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Italic" w:hAnsi="Calibri-Italic" w:cs="Calibri-Italic"/>
          <w:b/>
          <w:i/>
          <w:iCs/>
          <w:sz w:val="20"/>
          <w:szCs w:val="20"/>
        </w:rPr>
      </w:pPr>
      <w:r w:rsidRPr="005618D8">
        <w:rPr>
          <w:rFonts w:ascii="Calibri" w:hAnsi="Calibri" w:cs="Calibri"/>
          <w:b/>
          <w:sz w:val="20"/>
          <w:szCs w:val="20"/>
        </w:rPr>
        <w:lastRenderedPageBreak/>
        <w:t xml:space="preserve">4. </w:t>
      </w:r>
      <w:r w:rsidRPr="005618D8">
        <w:rPr>
          <w:rFonts w:ascii="Calibri-Italic" w:hAnsi="Calibri-Italic" w:cs="Calibri-Italic"/>
          <w:b/>
          <w:i/>
          <w:iCs/>
          <w:sz w:val="20"/>
          <w:szCs w:val="20"/>
        </w:rPr>
        <w:t>Zakończenie akcji deratyzacyjnej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18D8">
        <w:rPr>
          <w:rFonts w:ascii="Calibri" w:hAnsi="Calibri" w:cs="Calibri"/>
          <w:sz w:val="20"/>
          <w:szCs w:val="20"/>
        </w:rPr>
        <w:t>Zwalczanie można uznać za zakończone, gdy ustanie pobieranie przynęty przez gryzonie. Zebrać pozostałą</w:t>
      </w:r>
      <w:r w:rsidR="004819E5" w:rsidRPr="005618D8">
        <w:rPr>
          <w:rFonts w:ascii="Calibri" w:hAnsi="Calibri" w:cs="Calibri"/>
          <w:sz w:val="20"/>
          <w:szCs w:val="20"/>
        </w:rPr>
        <w:t xml:space="preserve"> </w:t>
      </w:r>
      <w:r w:rsidRPr="005618D8">
        <w:rPr>
          <w:rFonts w:ascii="Calibri" w:hAnsi="Calibri" w:cs="Calibri"/>
          <w:sz w:val="20"/>
          <w:szCs w:val="20"/>
        </w:rPr>
        <w:t>przynętę oraz znalezione martwe gryzonie i</w:t>
      </w:r>
      <w:r w:rsidR="00A81218" w:rsidRPr="005618D8">
        <w:rPr>
          <w:rFonts w:ascii="Calibri" w:hAnsi="Calibri" w:cs="Calibri"/>
          <w:sz w:val="20"/>
          <w:szCs w:val="20"/>
        </w:rPr>
        <w:t xml:space="preserve"> przekazać je podmiotowi uprawnionemu do utylizacji i unieszkodliwiania odpadów.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5618D8">
        <w:rPr>
          <w:rFonts w:ascii="Calibri-Bold" w:hAnsi="Calibri-Bold" w:cs="Calibri-Bold"/>
          <w:b/>
          <w:bCs/>
          <w:sz w:val="20"/>
          <w:szCs w:val="20"/>
        </w:rPr>
        <w:t>ŚRODKI OSTROŻNOŚCI:</w:t>
      </w:r>
    </w:p>
    <w:p w:rsidR="008F2F84" w:rsidRPr="00E766E7" w:rsidRDefault="008F2F84" w:rsidP="008F2F84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Przechowywać pod zamknięciem i chronić przed dziećmi.</w:t>
      </w:r>
    </w:p>
    <w:p w:rsidR="008F2F84" w:rsidRPr="00E766E7" w:rsidRDefault="008F2F84" w:rsidP="008F2F84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Nie jeść i nie pić oraz nie palić tytoniu podczas stosowania produktu.</w:t>
      </w:r>
    </w:p>
    <w:p w:rsidR="00C66847" w:rsidRPr="00E766E7" w:rsidRDefault="00C66847" w:rsidP="00C66847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Nosić odpowiednie rękawice ochronne.</w:t>
      </w:r>
    </w:p>
    <w:p w:rsidR="00C66847" w:rsidRPr="00E766E7" w:rsidRDefault="00C66847" w:rsidP="00C66847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W razie połknięcia niezwłocznie zasięgnij porady lekarza — pokaż opakowanie lub etykietę.</w:t>
      </w:r>
    </w:p>
    <w:p w:rsidR="00C66847" w:rsidRPr="00E766E7" w:rsidRDefault="00C66847" w:rsidP="00C66847">
      <w:pPr>
        <w:autoSpaceDE w:val="0"/>
        <w:autoSpaceDN w:val="0"/>
        <w:adjustRightInd w:val="0"/>
        <w:jc w:val="left"/>
        <w:rPr>
          <w:rStyle w:val="hps"/>
          <w:sz w:val="20"/>
          <w:szCs w:val="20"/>
        </w:rPr>
      </w:pPr>
      <w:r w:rsidRPr="00E766E7">
        <w:rPr>
          <w:rStyle w:val="hps"/>
          <w:sz w:val="20"/>
          <w:szCs w:val="20"/>
        </w:rPr>
        <w:t>Nosić odpowiednie środki ochrony dróg oddechowych (przeciwpyłowe maski jednorazowe przynajmniej EN149 FFP2 lub równoważne) podczas przesypywania produktu.</w:t>
      </w:r>
      <w:r w:rsidR="0051462F" w:rsidRPr="00E766E7">
        <w:rPr>
          <w:rStyle w:val="hps"/>
          <w:sz w:val="20"/>
          <w:szCs w:val="20"/>
        </w:rPr>
        <w:t xml:space="preserve"> Unikać tworzenia się pyłu.</w:t>
      </w:r>
    </w:p>
    <w:p w:rsidR="00C00729" w:rsidRPr="00E766E7" w:rsidRDefault="00C00729" w:rsidP="00261C44">
      <w:pPr>
        <w:contextualSpacing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Umyć ręce i odsłonięte części skóry narażonej na bezpośredni kontakt z produktem po zastosowaniu produktu oraz przed jedzeniem, piciem i paleniem tytoniu.</w:t>
      </w:r>
    </w:p>
    <w:p w:rsidR="008F2F84" w:rsidRPr="00E766E7" w:rsidRDefault="00261C44" w:rsidP="00261C44">
      <w:pPr>
        <w:contextualSpacing/>
        <w:rPr>
          <w:color w:val="000000" w:themeColor="text1"/>
          <w:sz w:val="20"/>
          <w:szCs w:val="20"/>
        </w:rPr>
      </w:pPr>
      <w:r w:rsidRPr="00E766E7">
        <w:rPr>
          <w:color w:val="000000" w:themeColor="text1"/>
          <w:sz w:val="20"/>
          <w:szCs w:val="20"/>
        </w:rPr>
        <w:t>Produkt umieszczać i stosować jedynie w miejscach niedostępnych dla dzieci, ptaków i innych zwierząt nie będących przedmiotem zwalczania (zwłaszcza ps</w:t>
      </w:r>
      <w:r w:rsidR="00E766E7">
        <w:rPr>
          <w:color w:val="000000" w:themeColor="text1"/>
          <w:sz w:val="20"/>
          <w:szCs w:val="20"/>
        </w:rPr>
        <w:t xml:space="preserve">ów, kotów, świń </w:t>
      </w:r>
      <w:r w:rsidRPr="00E766E7">
        <w:rPr>
          <w:color w:val="000000" w:themeColor="text1"/>
          <w:sz w:val="20"/>
          <w:szCs w:val="20"/>
        </w:rPr>
        <w:t xml:space="preserve">i drobiu). </w:t>
      </w:r>
      <w:r w:rsidR="008F2F84" w:rsidRPr="00E766E7">
        <w:rPr>
          <w:rFonts w:cs="Calibri"/>
          <w:sz w:val="20"/>
          <w:szCs w:val="20"/>
        </w:rPr>
        <w:t xml:space="preserve"> Zaleca się przytwierdzanie przynęty do podłoża.</w:t>
      </w:r>
    </w:p>
    <w:p w:rsidR="0051462F" w:rsidRPr="00E766E7" w:rsidRDefault="008F2F84" w:rsidP="0051462F">
      <w:pPr>
        <w:contextualSpacing/>
        <w:rPr>
          <w:sz w:val="20"/>
          <w:szCs w:val="20"/>
        </w:rPr>
      </w:pPr>
      <w:r w:rsidRPr="00E766E7">
        <w:rPr>
          <w:rFonts w:cs="Calibri"/>
          <w:sz w:val="20"/>
          <w:szCs w:val="20"/>
        </w:rPr>
        <w:t xml:space="preserve">W przypadku stosowania </w:t>
      </w:r>
      <w:r w:rsidR="00534BF5" w:rsidRPr="00E766E7">
        <w:rPr>
          <w:rFonts w:cs="Calibri"/>
          <w:sz w:val="20"/>
          <w:szCs w:val="20"/>
        </w:rPr>
        <w:t>w miejscach publicznych oznakować obszar stosowania w czasie akcji deratyzacyjnej oraz</w:t>
      </w:r>
      <w:r w:rsidR="004819E5" w:rsidRPr="00E766E7">
        <w:rPr>
          <w:rFonts w:cs="Calibri"/>
          <w:sz w:val="20"/>
          <w:szCs w:val="20"/>
        </w:rPr>
        <w:t xml:space="preserve"> </w:t>
      </w:r>
      <w:r w:rsidR="00534BF5" w:rsidRPr="00E766E7">
        <w:rPr>
          <w:rFonts w:cs="Calibri"/>
          <w:sz w:val="20"/>
          <w:szCs w:val="20"/>
        </w:rPr>
        <w:t xml:space="preserve">udostępnić informację o ryzyku zatrucia pierwotnego i wtórnego </w:t>
      </w:r>
      <w:r w:rsidR="0051462F" w:rsidRPr="00E766E7">
        <w:rPr>
          <w:rFonts w:cs="Calibri"/>
          <w:sz w:val="20"/>
          <w:szCs w:val="20"/>
        </w:rPr>
        <w:t xml:space="preserve">w wyniku kontaktu z </w:t>
      </w:r>
      <w:r w:rsidR="00534BF5" w:rsidRPr="00E766E7">
        <w:rPr>
          <w:rFonts w:cs="Calibri"/>
          <w:sz w:val="20"/>
          <w:szCs w:val="20"/>
        </w:rPr>
        <w:t>antykoagulantem wraz ze wskazaniem zasad</w:t>
      </w:r>
      <w:r w:rsidR="004819E5" w:rsidRPr="00E766E7">
        <w:rPr>
          <w:rFonts w:cs="Calibri"/>
          <w:sz w:val="20"/>
          <w:szCs w:val="20"/>
        </w:rPr>
        <w:t xml:space="preserve"> </w:t>
      </w:r>
      <w:r w:rsidR="00534BF5" w:rsidRPr="00E766E7">
        <w:rPr>
          <w:rFonts w:cs="Calibri"/>
          <w:sz w:val="20"/>
          <w:szCs w:val="20"/>
        </w:rPr>
        <w:t>udzielania pierwszej pomocy w razie zatrucia.</w:t>
      </w:r>
      <w:r w:rsidR="00D65473" w:rsidRPr="00E766E7">
        <w:rPr>
          <w:rFonts w:cs="Calibri"/>
          <w:sz w:val="20"/>
          <w:szCs w:val="20"/>
        </w:rPr>
        <w:t xml:space="preserve"> </w:t>
      </w:r>
      <w:r w:rsidRPr="00E766E7">
        <w:rPr>
          <w:rFonts w:cs="Calibri"/>
          <w:sz w:val="20"/>
          <w:szCs w:val="20"/>
        </w:rPr>
        <w:t xml:space="preserve">Regularnie wyszukiwać i usuwać martwe gryzonie. W niektórych okolicznościach może być konieczna codzienna inspekcja. Po zakończeniu akcji zwalczania usunąć pozostałości preparatu i </w:t>
      </w:r>
      <w:r w:rsidR="00962543" w:rsidRPr="00E766E7">
        <w:rPr>
          <w:rFonts w:cs="Calibri"/>
          <w:sz w:val="20"/>
          <w:szCs w:val="20"/>
        </w:rPr>
        <w:t>karmniki</w:t>
      </w:r>
      <w:r w:rsidRPr="00E766E7">
        <w:rPr>
          <w:rFonts w:cs="Calibri"/>
          <w:sz w:val="20"/>
          <w:szCs w:val="20"/>
        </w:rPr>
        <w:t xml:space="preserve"> do których był wykładany.</w:t>
      </w:r>
      <w:r w:rsidR="00D57E7C" w:rsidRPr="00E766E7">
        <w:rPr>
          <w:rFonts w:cs="Calibri"/>
          <w:sz w:val="20"/>
          <w:szCs w:val="20"/>
        </w:rPr>
        <w:t xml:space="preserve"> Nie zanieczyszczać środowiska produktem lub jego opakowaniem. </w:t>
      </w:r>
      <w:r w:rsidR="0051462F" w:rsidRPr="00E766E7">
        <w:rPr>
          <w:sz w:val="20"/>
          <w:szCs w:val="20"/>
        </w:rPr>
        <w:t xml:space="preserve">Nie należy długoterminowo stosować na danym terenie środków gryzoniobójczych zawierających antykoagulanty. W przypadku tego typu środków gryzonie powinny zostać zwalczone w ciągu 35 dni. Jeśli po tym okresie aktywność gryzoni nadal się utrzymuje, należy ustalić przyczynę braku skuteczności ich zwalczania. </w:t>
      </w:r>
    </w:p>
    <w:p w:rsidR="0051462F" w:rsidRPr="003C1C94" w:rsidRDefault="0051462F" w:rsidP="0051462F">
      <w:pPr>
        <w:contextualSpacing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E766E7">
        <w:rPr>
          <w:sz w:val="20"/>
          <w:szCs w:val="20"/>
        </w:rPr>
        <w:t>Nie dopuścić do kontaktu produktu z innymi produktami.</w:t>
      </w:r>
    </w:p>
    <w:p w:rsidR="00D57E7C" w:rsidRPr="000B0918" w:rsidRDefault="00D57E7C" w:rsidP="00D57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8F2F84" w:rsidRPr="000B0918" w:rsidRDefault="008F2F84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-Bold" w:hAnsi="Calibri-Bold" w:cs="Calibri-Bold"/>
          <w:b/>
          <w:bCs/>
          <w:sz w:val="20"/>
          <w:szCs w:val="20"/>
        </w:rPr>
        <w:t>Przechowywanie</w:t>
      </w:r>
      <w:r w:rsidRPr="000B0918">
        <w:rPr>
          <w:rFonts w:ascii="Calibri" w:hAnsi="Calibri" w:cs="Calibri"/>
          <w:sz w:val="20"/>
          <w:szCs w:val="20"/>
        </w:rPr>
        <w:t>:</w:t>
      </w: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" w:hAnsi="Calibri" w:cs="Calibri"/>
          <w:sz w:val="20"/>
          <w:szCs w:val="20"/>
        </w:rPr>
        <w:t>Przechowywać pod zamknięciem i chronić przed dziećmi.</w:t>
      </w:r>
    </w:p>
    <w:p w:rsidR="008F2F84" w:rsidRPr="000B0918" w:rsidRDefault="008F2F84" w:rsidP="008F2F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" w:hAnsi="Calibri" w:cs="Calibri"/>
          <w:sz w:val="20"/>
          <w:szCs w:val="20"/>
        </w:rPr>
        <w:t>Nie przechowywać razem z żywnością, napojami i paszami dla zwierząt.</w:t>
      </w: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" w:hAnsi="Calibri" w:cs="Calibri"/>
          <w:sz w:val="20"/>
          <w:szCs w:val="20"/>
        </w:rPr>
        <w:t>Przechowywać w oryginalnym, szczelnie zamkniętym opakowaniu, w chłodnym, suchym i dobrze wentylowanym</w:t>
      </w:r>
      <w:r w:rsidR="004819E5" w:rsidRPr="000B0918">
        <w:rPr>
          <w:rFonts w:ascii="Calibri" w:hAnsi="Calibri" w:cs="Calibri"/>
          <w:sz w:val="20"/>
          <w:szCs w:val="20"/>
        </w:rPr>
        <w:t xml:space="preserve"> </w:t>
      </w:r>
      <w:r w:rsidRPr="000B0918">
        <w:rPr>
          <w:rFonts w:ascii="Calibri" w:hAnsi="Calibri" w:cs="Calibri"/>
          <w:sz w:val="20"/>
          <w:szCs w:val="20"/>
        </w:rPr>
        <w:t>miejscu</w:t>
      </w:r>
      <w:r w:rsidR="00A81218" w:rsidRPr="000B0918">
        <w:rPr>
          <w:rFonts w:ascii="Calibri" w:hAnsi="Calibri" w:cs="Calibri"/>
          <w:sz w:val="20"/>
          <w:szCs w:val="20"/>
        </w:rPr>
        <w:t>, niedostępnym dla dzieci oraz zwierząt niebędących przedmiotem zwalczania</w:t>
      </w:r>
      <w:r w:rsidRPr="000B0918">
        <w:rPr>
          <w:rFonts w:ascii="Calibri" w:hAnsi="Calibri" w:cs="Calibri"/>
          <w:sz w:val="20"/>
          <w:szCs w:val="20"/>
        </w:rPr>
        <w:t>.</w:t>
      </w: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-BoldItalic" w:hAnsi="Calibri-BoldItalic" w:cs="Calibri-BoldItalic"/>
          <w:b/>
          <w:bCs/>
          <w:iCs/>
          <w:sz w:val="20"/>
          <w:szCs w:val="20"/>
        </w:rPr>
        <w:t>Postępowanie z odpadami produktu i opakowaniem</w:t>
      </w:r>
      <w:r w:rsidRPr="000B0918">
        <w:rPr>
          <w:rFonts w:ascii="Calibri" w:hAnsi="Calibri" w:cs="Calibri"/>
          <w:sz w:val="20"/>
          <w:szCs w:val="20"/>
        </w:rPr>
        <w:t>:</w:t>
      </w:r>
    </w:p>
    <w:p w:rsidR="00C00729" w:rsidRPr="00E766E7" w:rsidRDefault="00C00729" w:rsidP="00C00729">
      <w:pPr>
        <w:contextualSpacing/>
        <w:rPr>
          <w:sz w:val="20"/>
          <w:szCs w:val="20"/>
        </w:rPr>
      </w:pPr>
      <w:r w:rsidRPr="00E766E7">
        <w:rPr>
          <w:rFonts w:cs="Calibri"/>
          <w:sz w:val="20"/>
          <w:szCs w:val="20"/>
        </w:rPr>
        <w:t xml:space="preserve">Pozostałości produktu po zastosowaniu zamknięte w oznakowanym pojemniku, niewykorzystany produkt, wodę wykorzystaną do mycia powierzchni zanieczyszczonych produktem oraz padłe gryzonie i opakowania po produkcie przekazać firmie posiadającej uprawnienia do utylizacji i unieszkodliwiania odpadów (np. spalarnie). Nie usuwać do środowiska. </w:t>
      </w:r>
      <w:r w:rsidRPr="00E766E7">
        <w:rPr>
          <w:sz w:val="20"/>
          <w:szCs w:val="20"/>
        </w:rPr>
        <w:t>Nie dopuścić do zanieczyszczenia gleby, wody powierzchniowej i kanalizacji produktem lub opakowaniem po produkcie.</w:t>
      </w:r>
    </w:p>
    <w:p w:rsidR="00C00729" w:rsidRPr="00E766E7" w:rsidRDefault="00C00729" w:rsidP="00C00729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Opakowania po produkcie i pozostałości produktu traktować jak odpad niebezpieczny.</w:t>
      </w:r>
    </w:p>
    <w:p w:rsidR="00C00729" w:rsidRPr="00E766E7" w:rsidRDefault="00C00729" w:rsidP="00C00729">
      <w:pPr>
        <w:rPr>
          <w:sz w:val="20"/>
          <w:szCs w:val="20"/>
        </w:rPr>
      </w:pPr>
      <w:r w:rsidRPr="00E766E7">
        <w:rPr>
          <w:sz w:val="20"/>
          <w:szCs w:val="20"/>
        </w:rPr>
        <w:t>W przypadku niezamierzonego uwolnienia produktu do środowiska, należy go zebrać unikając bezpośredniego kontaktu ze skórą i przekazać firmie posiadającej uprawnienia do utylizacji i unieszkodliwiania odpadów niebezpiecznych (np. spalarnie).</w:t>
      </w: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534BF5" w:rsidRPr="000B0918" w:rsidRDefault="00534BF5" w:rsidP="004819E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0B0918">
        <w:rPr>
          <w:rFonts w:ascii="Calibri-Bold" w:hAnsi="Calibri-Bold" w:cs="Calibri-Bold"/>
          <w:b/>
          <w:bCs/>
          <w:sz w:val="20"/>
          <w:szCs w:val="20"/>
        </w:rPr>
        <w:t>PIERWSZA POMOC</w:t>
      </w:r>
    </w:p>
    <w:p w:rsidR="00534BF5" w:rsidRPr="000B0918" w:rsidRDefault="00E054D0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" w:hAnsi="Calibri" w:cs="Calibri"/>
          <w:sz w:val="20"/>
          <w:szCs w:val="20"/>
        </w:rPr>
        <w:t xml:space="preserve">Zanieczyszczenie </w:t>
      </w:r>
      <w:r w:rsidR="00534BF5" w:rsidRPr="000B0918">
        <w:rPr>
          <w:rFonts w:ascii="Calibri" w:hAnsi="Calibri" w:cs="Calibri"/>
          <w:sz w:val="20"/>
          <w:szCs w:val="20"/>
        </w:rPr>
        <w:t>skóry: obmyć skórę wodą, a następnie wodą i mydłem.</w:t>
      </w:r>
    </w:p>
    <w:p w:rsidR="00534BF5" w:rsidRPr="000B0918" w:rsidRDefault="00E054D0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" w:hAnsi="Calibri" w:cs="Calibri"/>
          <w:sz w:val="20"/>
          <w:szCs w:val="20"/>
        </w:rPr>
        <w:t xml:space="preserve">Zanieczyszczenie </w:t>
      </w:r>
      <w:r w:rsidR="00534BF5" w:rsidRPr="000B0918">
        <w:rPr>
          <w:rFonts w:ascii="Calibri" w:hAnsi="Calibri" w:cs="Calibri"/>
          <w:sz w:val="20"/>
          <w:szCs w:val="20"/>
        </w:rPr>
        <w:t xml:space="preserve">oka: przemywać płynem do przemywania oczu lub czystą wodą, utrzymując powieki otwarte, przez </w:t>
      </w:r>
      <w:r w:rsidR="005618D8" w:rsidRPr="000B0918">
        <w:rPr>
          <w:rFonts w:ascii="Calibri" w:hAnsi="Calibri" w:cs="Calibri"/>
          <w:sz w:val="20"/>
          <w:szCs w:val="20"/>
        </w:rPr>
        <w:t>kilka</w:t>
      </w:r>
      <w:r w:rsidR="00534BF5" w:rsidRPr="000B0918">
        <w:rPr>
          <w:rFonts w:ascii="Calibri" w:hAnsi="Calibri" w:cs="Calibri"/>
          <w:sz w:val="20"/>
          <w:szCs w:val="20"/>
        </w:rPr>
        <w:t xml:space="preserve"> minut.</w:t>
      </w:r>
    </w:p>
    <w:p w:rsidR="00534BF5" w:rsidRPr="000B0918" w:rsidRDefault="00E054D0" w:rsidP="004819E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0B0918">
        <w:rPr>
          <w:rFonts w:ascii="Calibri" w:hAnsi="Calibri" w:cs="Calibri"/>
          <w:sz w:val="20"/>
          <w:szCs w:val="20"/>
        </w:rPr>
        <w:t>W przypadku połknięcia</w:t>
      </w:r>
      <w:r w:rsidR="00534BF5" w:rsidRPr="000B0918">
        <w:rPr>
          <w:rFonts w:ascii="Calibri" w:hAnsi="Calibri" w:cs="Calibri"/>
          <w:sz w:val="20"/>
          <w:szCs w:val="20"/>
        </w:rPr>
        <w:t xml:space="preserve">: dokładnie wypłukać usta wodą. </w:t>
      </w:r>
      <w:r w:rsidRPr="000B0918">
        <w:rPr>
          <w:rFonts w:ascii="Calibri" w:hAnsi="Calibri" w:cs="Calibri"/>
          <w:sz w:val="20"/>
          <w:szCs w:val="20"/>
        </w:rPr>
        <w:t xml:space="preserve">Nigdy nie podawać niczego doustnie nieprzytomnej osobie. Nie powodować wymiotów. </w:t>
      </w:r>
      <w:r w:rsidR="00534BF5" w:rsidRPr="000B0918">
        <w:rPr>
          <w:rFonts w:ascii="Calibri" w:hAnsi="Calibri" w:cs="Calibri"/>
          <w:sz w:val="20"/>
          <w:szCs w:val="20"/>
        </w:rPr>
        <w:t xml:space="preserve">Skontaktować się natychmiast z lekarzem, pokazać </w:t>
      </w:r>
      <w:r w:rsidR="004D26AC">
        <w:rPr>
          <w:rFonts w:ascii="Calibri" w:hAnsi="Calibri" w:cs="Calibri"/>
          <w:sz w:val="20"/>
          <w:szCs w:val="20"/>
        </w:rPr>
        <w:t>etykietę</w:t>
      </w:r>
      <w:r w:rsidR="00534BF5" w:rsidRPr="000B0918">
        <w:rPr>
          <w:rFonts w:ascii="Calibri" w:hAnsi="Calibri" w:cs="Calibri"/>
          <w:sz w:val="20"/>
          <w:szCs w:val="20"/>
        </w:rPr>
        <w:t xml:space="preserve"> produktu lub kartę charakterystyki.</w:t>
      </w:r>
    </w:p>
    <w:p w:rsidR="00534BF5" w:rsidRPr="005618D8" w:rsidRDefault="00534BF5" w:rsidP="004819E5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</w:p>
    <w:p w:rsidR="005618D8" w:rsidRPr="00E766E7" w:rsidRDefault="005618D8" w:rsidP="005618D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766E7">
        <w:rPr>
          <w:rFonts w:ascii="Calibri" w:hAnsi="Calibri" w:cs="Calibri"/>
          <w:sz w:val="20"/>
          <w:szCs w:val="20"/>
        </w:rPr>
        <w:t>Objawy zatrucia bromadiolonem wynikają z podwyższonej tendencji do krwawienia i polegają na wzroście czasu protrombinowego, łatwym powstawaniu siniaków, krwi w stolcu i moczu oraz ogólnym osłabieniu. W cięższych przypadkach może wystąpić krwotok lub wstrząs.</w:t>
      </w:r>
      <w:r w:rsidRPr="00E766E7">
        <w:rPr>
          <w:spacing w:val="-3"/>
          <w:sz w:val="20"/>
          <w:szCs w:val="20"/>
        </w:rPr>
        <w:t xml:space="preserve"> </w:t>
      </w:r>
      <w:r w:rsidR="00201FBB" w:rsidRPr="00E766E7">
        <w:rPr>
          <w:rFonts w:ascii="Calibri" w:hAnsi="Calibri" w:cs="Calibri"/>
          <w:sz w:val="20"/>
          <w:szCs w:val="20"/>
        </w:rPr>
        <w:t xml:space="preserve">Bromadiolon jest pośrednim antykoagulantem. </w:t>
      </w:r>
      <w:r w:rsidRPr="00E766E7">
        <w:rPr>
          <w:spacing w:val="-3"/>
          <w:sz w:val="20"/>
          <w:szCs w:val="20"/>
        </w:rPr>
        <w:t>K</w:t>
      </w:r>
      <w:r w:rsidRPr="00E766E7">
        <w:rPr>
          <w:sz w:val="20"/>
          <w:szCs w:val="20"/>
        </w:rPr>
        <w:t>ontrolować czas protrombinowy nie krócej niż przez 18 godzin od połknięcia, a w przypadku wzrostu, podawać witaminę K</w:t>
      </w:r>
      <w:r w:rsidRPr="00E766E7">
        <w:rPr>
          <w:sz w:val="20"/>
          <w:szCs w:val="20"/>
          <w:vertAlign w:val="subscript"/>
        </w:rPr>
        <w:t>1</w:t>
      </w:r>
      <w:r w:rsidRPr="00E766E7">
        <w:rPr>
          <w:rFonts w:ascii="Calibri" w:hAnsi="Calibri" w:cs="Calibri"/>
          <w:sz w:val="20"/>
          <w:szCs w:val="20"/>
        </w:rPr>
        <w:t xml:space="preserve"> do momentu ustabilizowania czasu protrombinowego. Kontynuować pomiar czasu protrombinowego przez okres 2 tygodni po odstawieniu antidotum i wznowić leczenie jeśli wynik się podniesie.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-Bold"/>
          <w:b/>
          <w:bCs/>
          <w:sz w:val="20"/>
          <w:szCs w:val="20"/>
        </w:rPr>
        <w:t xml:space="preserve">Antidotum: </w:t>
      </w:r>
      <w:r w:rsidRPr="00E766E7">
        <w:rPr>
          <w:rFonts w:cs="Calibri"/>
          <w:sz w:val="20"/>
          <w:szCs w:val="20"/>
        </w:rPr>
        <w:t xml:space="preserve">Witamina K1 podawana pod kontrolą lekarza. </w:t>
      </w:r>
    </w:p>
    <w:p w:rsidR="005618D8" w:rsidRPr="005618D8" w:rsidRDefault="005618D8" w:rsidP="005618D8">
      <w:pPr>
        <w:autoSpaceDE w:val="0"/>
        <w:autoSpaceDN w:val="0"/>
        <w:adjustRightInd w:val="0"/>
        <w:rPr>
          <w:rFonts w:ascii="Calibri-Bold" w:hAnsi="Calibri-Bold" w:cs="Calibri-Bold"/>
          <w:bCs/>
          <w:sz w:val="20"/>
          <w:szCs w:val="20"/>
        </w:rPr>
      </w:pPr>
      <w:r w:rsidRPr="00E766E7">
        <w:rPr>
          <w:rFonts w:cs="Calibri-Bold"/>
          <w:bCs/>
          <w:sz w:val="20"/>
          <w:szCs w:val="20"/>
        </w:rPr>
        <w:t>W razie potrzeby skontaktować się z ośrodkiem toksykologicznycznym</w:t>
      </w:r>
      <w:r w:rsidRPr="005618D8">
        <w:rPr>
          <w:rFonts w:ascii="Calibri-Bold" w:hAnsi="Calibri-Bold" w:cs="Calibri-Bold"/>
          <w:bCs/>
          <w:sz w:val="20"/>
          <w:szCs w:val="20"/>
        </w:rPr>
        <w:t>.</w:t>
      </w:r>
    </w:p>
    <w:p w:rsidR="005618D8" w:rsidRPr="005618D8" w:rsidRDefault="005618D8" w:rsidP="005618D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-Bold"/>
          <w:b/>
          <w:bCs/>
          <w:sz w:val="20"/>
          <w:szCs w:val="20"/>
        </w:rPr>
        <w:t>Telefony w razie nagłych wypadków w Polsce</w:t>
      </w:r>
      <w:r w:rsidRPr="00E766E7">
        <w:rPr>
          <w:rFonts w:cs="Calibri"/>
          <w:sz w:val="20"/>
          <w:szCs w:val="20"/>
        </w:rPr>
        <w:t>: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Krajowe Centrum Informacji Toksykologicznej w Łodzi 42 631 47 24; 42 631 47 25.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Warszawski Ośrodek Toksykologiczny tel. 22 619 08 97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-Bold"/>
          <w:b/>
          <w:bCs/>
          <w:sz w:val="20"/>
          <w:szCs w:val="20"/>
        </w:rPr>
      </w:pP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Okres ważności – do 2 lat od daty produkcji.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commentRangeStart w:id="1"/>
      <w:r w:rsidRPr="000663DF">
        <w:rPr>
          <w:rFonts w:cs="Calibri"/>
          <w:sz w:val="20"/>
          <w:szCs w:val="20"/>
        </w:rPr>
        <w:t>Data produkcji i numer serii znajdują się na opakowaniu</w:t>
      </w:r>
      <w:r w:rsidRPr="000663DF">
        <w:rPr>
          <w:rFonts w:cs="Calibri"/>
          <w:sz w:val="20"/>
          <w:szCs w:val="20"/>
          <w:highlight w:val="yellow"/>
        </w:rPr>
        <w:t>.</w:t>
      </w:r>
      <w:commentRangeEnd w:id="1"/>
      <w:r w:rsidR="007D3A80" w:rsidRPr="000663DF">
        <w:rPr>
          <w:rStyle w:val="Rimandocommento"/>
          <w:highlight w:val="yellow"/>
        </w:rPr>
        <w:commentReference w:id="1"/>
      </w:r>
    </w:p>
    <w:p w:rsidR="005618D8" w:rsidRDefault="005618D8" w:rsidP="005618D8">
      <w:pPr>
        <w:autoSpaceDE w:val="0"/>
        <w:autoSpaceDN w:val="0"/>
        <w:adjustRightInd w:val="0"/>
        <w:rPr>
          <w:rFonts w:cs="Calibri-Bold"/>
          <w:b/>
          <w:bCs/>
          <w:sz w:val="20"/>
          <w:szCs w:val="20"/>
        </w:rPr>
      </w:pP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-Bold"/>
          <w:b/>
          <w:bCs/>
          <w:sz w:val="20"/>
          <w:szCs w:val="20"/>
        </w:rPr>
        <w:t xml:space="preserve">Podmiot odpowiedzialny </w:t>
      </w:r>
      <w:r w:rsidRPr="00E766E7">
        <w:rPr>
          <w:rFonts w:cs="Calibri"/>
          <w:sz w:val="20"/>
          <w:szCs w:val="20"/>
        </w:rPr>
        <w:t>(Producent):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Z</w:t>
      </w:r>
      <w:r w:rsidR="0068047E" w:rsidRPr="00E766E7">
        <w:rPr>
          <w:rFonts w:cs="Calibri"/>
          <w:sz w:val="20"/>
          <w:szCs w:val="20"/>
        </w:rPr>
        <w:t>API S.p.A., via Terza Strada, 12-</w:t>
      </w:r>
      <w:r w:rsidRPr="00E766E7">
        <w:rPr>
          <w:rFonts w:cs="Calibri"/>
          <w:sz w:val="20"/>
          <w:szCs w:val="20"/>
        </w:rPr>
        <w:t>35026 Conselve (Pd) Włochy.</w:t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766E7">
        <w:rPr>
          <w:rFonts w:cs="Calibri"/>
          <w:sz w:val="20"/>
          <w:szCs w:val="20"/>
        </w:rPr>
        <w:t>tel. 0039 49 9597785.</w:t>
      </w:r>
    </w:p>
    <w:p w:rsidR="005618D8" w:rsidRDefault="005618D8" w:rsidP="005618D8">
      <w:pPr>
        <w:autoSpaceDE w:val="0"/>
        <w:autoSpaceDN w:val="0"/>
        <w:adjustRightInd w:val="0"/>
        <w:rPr>
          <w:rFonts w:cs="Calibri-Bold"/>
          <w:b/>
          <w:bCs/>
          <w:sz w:val="20"/>
          <w:szCs w:val="20"/>
        </w:rPr>
      </w:pPr>
    </w:p>
    <w:p w:rsidR="007D3A80" w:rsidRPr="00E766E7" w:rsidRDefault="007D3A80" w:rsidP="005618D8">
      <w:pPr>
        <w:autoSpaceDE w:val="0"/>
        <w:autoSpaceDN w:val="0"/>
        <w:adjustRightInd w:val="0"/>
        <w:rPr>
          <w:rFonts w:cs="Calibri-Bold"/>
          <w:b/>
          <w:bCs/>
          <w:sz w:val="20"/>
          <w:szCs w:val="20"/>
        </w:rPr>
      </w:pPr>
      <w:commentRangeStart w:id="2"/>
      <w:r w:rsidRPr="000663DF">
        <w:rPr>
          <w:rFonts w:cs="Calibri-Bold"/>
          <w:b/>
          <w:bCs/>
          <w:sz w:val="20"/>
          <w:szCs w:val="20"/>
          <w:highlight w:val="yellow"/>
        </w:rPr>
        <w:t>Dystrybutor:</w:t>
      </w:r>
      <w:r w:rsidRPr="000663DF">
        <w:rPr>
          <w:highlight w:val="yellow"/>
          <w:lang w:val="en-US"/>
        </w:rPr>
        <w:t xml:space="preserve"> __________</w:t>
      </w:r>
      <w:commentRangeEnd w:id="2"/>
      <w:r w:rsidRPr="000663DF">
        <w:rPr>
          <w:rStyle w:val="Rimandocommento"/>
          <w:highlight w:val="yellow"/>
        </w:rPr>
        <w:commentReference w:id="2"/>
      </w: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5618D8" w:rsidRPr="00E766E7" w:rsidRDefault="005618D8" w:rsidP="005618D8">
      <w:pPr>
        <w:autoSpaceDE w:val="0"/>
        <w:autoSpaceDN w:val="0"/>
        <w:adjustRightInd w:val="0"/>
        <w:rPr>
          <w:rFonts w:cs="Calibri"/>
          <w:sz w:val="20"/>
          <w:szCs w:val="20"/>
        </w:rPr>
      </w:pPr>
      <w:commentRangeStart w:id="3"/>
      <w:r w:rsidRPr="000663DF">
        <w:rPr>
          <w:rFonts w:cs="Calibri"/>
          <w:sz w:val="20"/>
          <w:szCs w:val="20"/>
          <w:highlight w:val="yellow"/>
        </w:rPr>
        <w:t>Zawartość:</w:t>
      </w:r>
      <w:r w:rsidR="007D3A80" w:rsidRPr="000663DF">
        <w:rPr>
          <w:rFonts w:cs="Calibri"/>
          <w:sz w:val="20"/>
          <w:szCs w:val="20"/>
          <w:highlight w:val="yellow"/>
        </w:rPr>
        <w:t xml:space="preserve"> ___________</w:t>
      </w:r>
      <w:r w:rsidRPr="000663DF">
        <w:rPr>
          <w:rFonts w:cs="Calibri"/>
          <w:sz w:val="20"/>
          <w:szCs w:val="20"/>
          <w:highlight w:val="yellow"/>
        </w:rPr>
        <w:t xml:space="preserve"> </w:t>
      </w:r>
      <w:commentRangeEnd w:id="3"/>
      <w:r w:rsidR="007D3A80" w:rsidRPr="000663DF">
        <w:rPr>
          <w:rStyle w:val="Rimandocommento"/>
          <w:highlight w:val="yellow"/>
        </w:rPr>
        <w:commentReference w:id="3"/>
      </w:r>
    </w:p>
    <w:p w:rsidR="000B0918" w:rsidRDefault="000B0918" w:rsidP="005618D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3A80" w:rsidRDefault="007D3A80" w:rsidP="005618D8">
      <w:pPr>
        <w:autoSpaceDE w:val="0"/>
        <w:autoSpaceDN w:val="0"/>
        <w:adjustRightInd w:val="0"/>
        <w:rPr>
          <w:lang w:val="en-US"/>
        </w:rPr>
      </w:pPr>
    </w:p>
    <w:p w:rsidR="000B0918" w:rsidRPr="005618D8" w:rsidRDefault="007D3A80" w:rsidP="005618D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lang w:val="en-US"/>
        </w:rPr>
        <w:t>®Zapi</w:t>
      </w:r>
    </w:p>
    <w:sectPr w:rsidR="000B0918" w:rsidRPr="005618D8" w:rsidSect="00FC3C71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orsi3" w:date="2013-09-10T16:51:00Z" w:initials="C">
    <w:p w:rsidR="007D3A80" w:rsidRDefault="007D3A80">
      <w:pPr>
        <w:pStyle w:val="Testocommento"/>
      </w:pPr>
      <w:r>
        <w:rPr>
          <w:rStyle w:val="Rimandocommento"/>
        </w:rPr>
        <w:annotationRef/>
      </w:r>
      <w:r>
        <w:t>Questo testo significa: „PER DATA PRODUZIONE E NUMERO LOTTO VEDERE IMBALLO”</w:t>
      </w:r>
    </w:p>
  </w:comment>
  <w:comment w:id="2" w:author="Corsi3" w:date="2013-09-10T16:53:00Z" w:initials="C">
    <w:p w:rsidR="007D3A80" w:rsidRDefault="007D3A80">
      <w:pPr>
        <w:pStyle w:val="Testocommento"/>
      </w:pPr>
      <w:r>
        <w:rPr>
          <w:rStyle w:val="Rimandocommento"/>
        </w:rPr>
        <w:annotationRef/>
      </w:r>
      <w:r>
        <w:t>INSERIRE EVENTUALE DISTRIBUTORE</w:t>
      </w:r>
    </w:p>
  </w:comment>
  <w:comment w:id="3" w:author="Corsi3" w:date="2013-09-10T16:52:00Z" w:initials="C">
    <w:p w:rsidR="007D3A80" w:rsidRDefault="007D3A80">
      <w:pPr>
        <w:pStyle w:val="Testocommento"/>
      </w:pPr>
      <w:r>
        <w:rPr>
          <w:rStyle w:val="Rimandocommento"/>
        </w:rPr>
        <w:annotationRef/>
      </w:r>
      <w:r>
        <w:t>INSERIRE PESO NETTO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90" w:rsidRDefault="00886E90" w:rsidP="00D0654F">
      <w:r>
        <w:separator/>
      </w:r>
    </w:p>
  </w:endnote>
  <w:endnote w:type="continuationSeparator" w:id="0">
    <w:p w:rsidR="00886E90" w:rsidRDefault="00886E90" w:rsidP="00D0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A" w:rsidRPr="00D0654F" w:rsidRDefault="00EE7B1A" w:rsidP="00D0654F">
    <w:pPr>
      <w:pStyle w:val="Pidipagina"/>
      <w:jc w:val="right"/>
      <w:rPr>
        <w:sz w:val="18"/>
        <w:szCs w:val="18"/>
      </w:rPr>
    </w:pPr>
    <w:r w:rsidRPr="00D0654F">
      <w:rPr>
        <w:sz w:val="18"/>
        <w:szCs w:val="18"/>
        <w:lang w:val="it-IT"/>
      </w:rPr>
      <w:t>Pag</w:t>
    </w:r>
    <w:r>
      <w:rPr>
        <w:sz w:val="18"/>
        <w:szCs w:val="18"/>
        <w:lang w:val="it-IT"/>
      </w:rPr>
      <w:t>e</w:t>
    </w:r>
    <w:r w:rsidRPr="00D0654F">
      <w:rPr>
        <w:sz w:val="18"/>
        <w:szCs w:val="18"/>
        <w:lang w:val="it-IT"/>
      </w:rPr>
      <w:t xml:space="preserve"> </w:t>
    </w:r>
    <w:r w:rsidR="00200CB4" w:rsidRPr="00D0654F">
      <w:rPr>
        <w:sz w:val="18"/>
        <w:szCs w:val="18"/>
      </w:rPr>
      <w:fldChar w:fldCharType="begin"/>
    </w:r>
    <w:r w:rsidRPr="00D0654F">
      <w:rPr>
        <w:sz w:val="18"/>
        <w:szCs w:val="18"/>
      </w:rPr>
      <w:instrText>PAGE  \* Arabic  \* MERGEFORMAT</w:instrText>
    </w:r>
    <w:r w:rsidR="00200CB4" w:rsidRPr="00D0654F">
      <w:rPr>
        <w:sz w:val="18"/>
        <w:szCs w:val="18"/>
      </w:rPr>
      <w:fldChar w:fldCharType="separate"/>
    </w:r>
    <w:r w:rsidR="00104246" w:rsidRPr="00104246">
      <w:rPr>
        <w:noProof/>
        <w:sz w:val="18"/>
        <w:szCs w:val="18"/>
        <w:lang w:val="it-IT"/>
      </w:rPr>
      <w:t>3</w:t>
    </w:r>
    <w:r w:rsidR="00200CB4" w:rsidRPr="00D0654F">
      <w:rPr>
        <w:sz w:val="18"/>
        <w:szCs w:val="18"/>
      </w:rPr>
      <w:fldChar w:fldCharType="end"/>
    </w:r>
    <w:r>
      <w:rPr>
        <w:sz w:val="18"/>
        <w:szCs w:val="18"/>
        <w:lang w:val="it-IT"/>
      </w:rPr>
      <w:t xml:space="preserve"> of</w:t>
    </w:r>
    <w:r w:rsidRPr="00D0654F">
      <w:rPr>
        <w:sz w:val="18"/>
        <w:szCs w:val="18"/>
        <w:lang w:val="it-IT"/>
      </w:rPr>
      <w:t xml:space="preserve"> </w:t>
    </w:r>
    <w:r w:rsidR="00886E90">
      <w:fldChar w:fldCharType="begin"/>
    </w:r>
    <w:r w:rsidR="00886E90">
      <w:instrText>NUMPAGES  \* Arabic  \* MERGEFORMAT</w:instrText>
    </w:r>
    <w:r w:rsidR="00886E90">
      <w:fldChar w:fldCharType="separate"/>
    </w:r>
    <w:r w:rsidR="00104246" w:rsidRPr="00104246">
      <w:rPr>
        <w:noProof/>
        <w:sz w:val="18"/>
        <w:szCs w:val="18"/>
        <w:lang w:val="it-IT"/>
      </w:rPr>
      <w:t>3</w:t>
    </w:r>
    <w:r w:rsidR="00886E90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90" w:rsidRDefault="00886E90" w:rsidP="00D0654F">
      <w:r>
        <w:separator/>
      </w:r>
    </w:p>
  </w:footnote>
  <w:footnote w:type="continuationSeparator" w:id="0">
    <w:p w:rsidR="00886E90" w:rsidRDefault="00886E90" w:rsidP="00D0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5"/>
    <w:rsid w:val="00020EC7"/>
    <w:rsid w:val="00027445"/>
    <w:rsid w:val="000663DF"/>
    <w:rsid w:val="000B0918"/>
    <w:rsid w:val="000B293B"/>
    <w:rsid w:val="000E50C6"/>
    <w:rsid w:val="00104246"/>
    <w:rsid w:val="001048FB"/>
    <w:rsid w:val="001114DA"/>
    <w:rsid w:val="00112E7B"/>
    <w:rsid w:val="00150BA9"/>
    <w:rsid w:val="001810B9"/>
    <w:rsid w:val="00190755"/>
    <w:rsid w:val="00197476"/>
    <w:rsid w:val="001A75EE"/>
    <w:rsid w:val="001C5635"/>
    <w:rsid w:val="001E4DE4"/>
    <w:rsid w:val="00200CB4"/>
    <w:rsid w:val="00201FBB"/>
    <w:rsid w:val="0021233F"/>
    <w:rsid w:val="0022654A"/>
    <w:rsid w:val="0024040F"/>
    <w:rsid w:val="00244942"/>
    <w:rsid w:val="00261C44"/>
    <w:rsid w:val="00292C47"/>
    <w:rsid w:val="002948B0"/>
    <w:rsid w:val="002D281D"/>
    <w:rsid w:val="002D3899"/>
    <w:rsid w:val="002D54B5"/>
    <w:rsid w:val="002E7D6B"/>
    <w:rsid w:val="003400BC"/>
    <w:rsid w:val="003B575B"/>
    <w:rsid w:val="00474FD5"/>
    <w:rsid w:val="004819E5"/>
    <w:rsid w:val="004938C6"/>
    <w:rsid w:val="004B15C4"/>
    <w:rsid w:val="004B22B2"/>
    <w:rsid w:val="004C1199"/>
    <w:rsid w:val="004C67BA"/>
    <w:rsid w:val="004D26AC"/>
    <w:rsid w:val="004D7D5C"/>
    <w:rsid w:val="004E6EF0"/>
    <w:rsid w:val="004F6FAF"/>
    <w:rsid w:val="0051462F"/>
    <w:rsid w:val="00534BF5"/>
    <w:rsid w:val="005618D8"/>
    <w:rsid w:val="00573DE1"/>
    <w:rsid w:val="0059022A"/>
    <w:rsid w:val="005C6972"/>
    <w:rsid w:val="005D591E"/>
    <w:rsid w:val="005E0EF1"/>
    <w:rsid w:val="005E2928"/>
    <w:rsid w:val="00600D5F"/>
    <w:rsid w:val="00607412"/>
    <w:rsid w:val="006338EF"/>
    <w:rsid w:val="00643D78"/>
    <w:rsid w:val="0068047E"/>
    <w:rsid w:val="00681D6D"/>
    <w:rsid w:val="006C6664"/>
    <w:rsid w:val="00730138"/>
    <w:rsid w:val="007822F7"/>
    <w:rsid w:val="007D3A80"/>
    <w:rsid w:val="0083315D"/>
    <w:rsid w:val="008416C7"/>
    <w:rsid w:val="00846652"/>
    <w:rsid w:val="00886E90"/>
    <w:rsid w:val="00895B4B"/>
    <w:rsid w:val="008A10BC"/>
    <w:rsid w:val="008C7D0D"/>
    <w:rsid w:val="008D2B6D"/>
    <w:rsid w:val="008D306B"/>
    <w:rsid w:val="008D37F5"/>
    <w:rsid w:val="008F0086"/>
    <w:rsid w:val="008F2F84"/>
    <w:rsid w:val="0094634B"/>
    <w:rsid w:val="00956216"/>
    <w:rsid w:val="00962543"/>
    <w:rsid w:val="0098051C"/>
    <w:rsid w:val="009A5359"/>
    <w:rsid w:val="00A25476"/>
    <w:rsid w:val="00A433B7"/>
    <w:rsid w:val="00A80D3D"/>
    <w:rsid w:val="00A81218"/>
    <w:rsid w:val="00A84EE6"/>
    <w:rsid w:val="00A920CD"/>
    <w:rsid w:val="00B77F74"/>
    <w:rsid w:val="00B94341"/>
    <w:rsid w:val="00BB542A"/>
    <w:rsid w:val="00BD7CFC"/>
    <w:rsid w:val="00C004B4"/>
    <w:rsid w:val="00C00729"/>
    <w:rsid w:val="00C20B24"/>
    <w:rsid w:val="00C66847"/>
    <w:rsid w:val="00CA04C9"/>
    <w:rsid w:val="00CA1E7D"/>
    <w:rsid w:val="00CE600D"/>
    <w:rsid w:val="00D0654F"/>
    <w:rsid w:val="00D131AC"/>
    <w:rsid w:val="00D43CF9"/>
    <w:rsid w:val="00D57E7C"/>
    <w:rsid w:val="00D65473"/>
    <w:rsid w:val="00DC7673"/>
    <w:rsid w:val="00E054D0"/>
    <w:rsid w:val="00E4040C"/>
    <w:rsid w:val="00E568E2"/>
    <w:rsid w:val="00E766E7"/>
    <w:rsid w:val="00E936AB"/>
    <w:rsid w:val="00EE7B1A"/>
    <w:rsid w:val="00F630A5"/>
    <w:rsid w:val="00FB061B"/>
    <w:rsid w:val="00FB0B63"/>
    <w:rsid w:val="00FC3C71"/>
    <w:rsid w:val="00FD3D2B"/>
    <w:rsid w:val="00FD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3B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D7C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7C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7CF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06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4F"/>
  </w:style>
  <w:style w:type="paragraph" w:styleId="Pidipagina">
    <w:name w:val="footer"/>
    <w:basedOn w:val="Normale"/>
    <w:link w:val="PidipaginaCarattere"/>
    <w:uiPriority w:val="99"/>
    <w:unhideWhenUsed/>
    <w:rsid w:val="00D06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4F"/>
  </w:style>
  <w:style w:type="character" w:customStyle="1" w:styleId="hps">
    <w:name w:val="hps"/>
    <w:basedOn w:val="Carpredefinitoparagrafo"/>
    <w:rsid w:val="00C6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3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3B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D7C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C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C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7C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7CF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06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4F"/>
  </w:style>
  <w:style w:type="paragraph" w:styleId="Pidipagina">
    <w:name w:val="footer"/>
    <w:basedOn w:val="Normale"/>
    <w:link w:val="PidipaginaCarattere"/>
    <w:uiPriority w:val="99"/>
    <w:unhideWhenUsed/>
    <w:rsid w:val="00D06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4F"/>
  </w:style>
  <w:style w:type="character" w:customStyle="1" w:styleId="hps">
    <w:name w:val="hps"/>
    <w:basedOn w:val="Carpredefinitoparagrafo"/>
    <w:rsid w:val="00C6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75E6-07DE-4599-859A-7211E32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Puszcz</dc:creator>
  <cp:lastModifiedBy>Corsi3</cp:lastModifiedBy>
  <cp:revision>6</cp:revision>
  <cp:lastPrinted>2013-08-07T10:56:00Z</cp:lastPrinted>
  <dcterms:created xsi:type="dcterms:W3CDTF">2013-09-10T14:48:00Z</dcterms:created>
  <dcterms:modified xsi:type="dcterms:W3CDTF">2013-09-16T14:15:00Z</dcterms:modified>
</cp:coreProperties>
</file>